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în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numeric personal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>
        <w:rPr>
          <w:rFonts w:ascii="Tahoma" w:hAnsi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>
          <w:rPr>
            <w:rFonts w:ascii="Times New Roman" w:hAnsi="Times New Roman"/>
            <w:sz w:val="24"/>
            <w:szCs w:val="24"/>
          </w:rPr>
          <w:t>la Ordinul</w:t>
        </w:r>
      </w:smartTag>
      <w:r>
        <w:rPr>
          <w:rFonts w:ascii="Times New Roman" w:hAnsi="Times New Roman"/>
          <w:sz w:val="24"/>
          <w:szCs w:val="24"/>
        </w:rPr>
        <w:t xml:space="preserve"> nr. 973/4592/2010 al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sportului, publicat în Monitorul Oficial al României, Partea I, nr. 552 din 05.08.2010,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nr. 973/4592/2010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 xml:space="preserve">.(3)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proofErr w:type="gram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proofErr w:type="gram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p w:rsidR="008F3187" w:rsidRDefault="008F3187"/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09"/>
    <w:rsid w:val="008F3187"/>
    <w:rsid w:val="00B01009"/>
    <w:rsid w:val="00C6195D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dcterms:created xsi:type="dcterms:W3CDTF">2020-10-22T21:34:00Z</dcterms:created>
  <dcterms:modified xsi:type="dcterms:W3CDTF">2020-10-22T21:34:00Z</dcterms:modified>
</cp:coreProperties>
</file>